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RELATOR </w:t>
      </w:r>
      <w:r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  <w:t>DESEMBARGADOR FEDERAL JOSÉ AMILCAR MACHADO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RELATOR CONVOCADO</w:t>
      </w:r>
      <w:r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  <w:t>JUIZ FEDERAL MARCELO VELASCO NASCIMENTO ALBERNAZ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APELANTE</w:t>
      </w:r>
      <w:r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  <w:t>ASSOCIACAO BRASILEIRA DE ZOOTECNISTAS ABZ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ADVOGADO</w:t>
      </w:r>
      <w:r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  <w:t>DF00019018 - SIMONE CERQUEIRA BATISTA E OUTRO(A)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APELADO</w:t>
      </w:r>
      <w:r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CONSELHO FEDERAL DE MEDICINA VETERINARIA - CFMV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PROCURADOR</w:t>
      </w:r>
      <w:r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  <w:t>DF00023287 - CYRLSTON MARTINS VALENTINO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PROCURADOR</w:t>
      </w:r>
      <w:r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  <w:t>DF00014904 - ANTONIO GERALDO DE MORAIS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PROCURADOR</w:t>
      </w:r>
      <w:r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  <w:t>DF00019379 - MONTESQUIEU DA SILVA VIEIRA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PROCURADOR</w:t>
      </w:r>
      <w:r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  <w:t xml:space="preserve">DF00017074 - RENATA TOUGUINHA NEVES </w:t>
      </w:r>
      <w:r>
        <w:rPr>
          <w:rFonts w:ascii="Arial" w:eastAsia="Arial" w:hAnsi="Arial" w:cs="Arial"/>
          <w:color w:val="000000"/>
        </w:rPr>
        <w:t>MEDINA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PROCURADOR</w:t>
      </w:r>
      <w:r>
        <w:rPr>
          <w:rFonts w:ascii="Arial" w:eastAsia="Arial" w:hAnsi="Arial" w:cs="Arial"/>
          <w:color w:val="000000"/>
        </w:rPr>
        <w:tab/>
        <w:t>:</w:t>
      </w:r>
      <w:r>
        <w:rPr>
          <w:rFonts w:ascii="Arial" w:eastAsia="Arial" w:hAnsi="Arial" w:cs="Arial"/>
          <w:color w:val="000000"/>
        </w:rPr>
        <w:tab/>
        <w:t>DF00021926 - ISABELA LLURDA MENEZES</w:t>
      </w: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M E N T A</w:t>
      </w: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PROCESSUAL CIVIL E ADMINISTRATIVO. AÇÃO CIVIL PÚBLICA. RAZÕES RECURSAIS SUFICIENTES. APELAÇÃO CONHECIDA. ASSOCIAÇÃO BRASILEIRA DE ZOOTECNISTAS – ABZ. LEGITIMIDADE ATIVA. RESPONSABILIDADE TÉCNICA DE ESTABELECIMENTOS DE PRODUÇÃO/REPRODUÇÃO DE AVES EM LARGA E</w:t>
      </w:r>
      <w:r>
        <w:rPr>
          <w:rFonts w:ascii="Arial" w:eastAsia="Arial" w:hAnsi="Arial" w:cs="Arial"/>
          <w:color w:val="000000"/>
        </w:rPr>
        <w:t>SCALA. COMPETÊNCIA PRIVATIVA DE MÉDICO VETERINÁRIO. IMPOSSIBILIDADE DE DESEMPENHO POR ZOOTECNISTA. APELAÇÃO NÃO PROVIDA.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Conquanto as razões recursais tenham reiterado argumentos apresentados pela parte autora antes da sentença, elas indicam suficientem</w:t>
      </w:r>
      <w:r>
        <w:rPr>
          <w:rFonts w:ascii="Arial" w:eastAsia="Arial" w:hAnsi="Arial" w:cs="Arial"/>
          <w:color w:val="000000"/>
        </w:rPr>
        <w:t>ente motivos para postular a reforma de tal ato decisório, possibilitando o adequado exercício do contraditório pela parte recorrida e o conhecimento do apelo por esta Corte.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A autora ostenta legitimidade ativa para a presente ação civil pública, tendo </w:t>
      </w:r>
      <w:r>
        <w:rPr>
          <w:rFonts w:ascii="Arial" w:eastAsia="Arial" w:hAnsi="Arial" w:cs="Arial"/>
          <w:color w:val="000000"/>
        </w:rPr>
        <w:t xml:space="preserve">em vista que se enquadra no disposto no art. 5º, inciso V, da Lei n. 7.347/1985, além de haver compatibilidade entre suas finalidades estatutárias (“promover [...] o prestígio [...] entre os Zootecnistas do país”; “promover, por todos os meios disponíveis </w:t>
      </w:r>
      <w:r>
        <w:rPr>
          <w:rFonts w:ascii="Arial" w:eastAsia="Arial" w:hAnsi="Arial" w:cs="Arial"/>
          <w:color w:val="000000"/>
        </w:rPr>
        <w:t>e ao seu alcance, a melhoria das condições de trabalho pleiteando e defendendo os interesses da classe junto às entidades competentes”) e o objeto desta causa (possibilitar o exercício de determinadas atividades profissionais por zootecnistas).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Sustenta</w:t>
      </w:r>
      <w:r>
        <w:rPr>
          <w:rFonts w:ascii="Arial" w:eastAsia="Arial" w:hAnsi="Arial" w:cs="Arial"/>
          <w:color w:val="000000"/>
        </w:rPr>
        <w:t xml:space="preserve"> a autora-apelante que é ilegal a limitação a médicos veterinários do desempenho da atividade de responsável técnico por “estabelecimentos avícolas de </w:t>
      </w:r>
      <w:r>
        <w:rPr>
          <w:rFonts w:ascii="Arial" w:eastAsia="Arial" w:hAnsi="Arial" w:cs="Arial"/>
          <w:color w:val="000000"/>
        </w:rPr>
        <w:lastRenderedPageBreak/>
        <w:t>reprodução, de linha pura, bisavoseiros, avoseiros, incubatórios, produtores de aves e ovos livres de pat</w:t>
      </w:r>
      <w:r>
        <w:rPr>
          <w:rFonts w:ascii="Arial" w:eastAsia="Arial" w:hAnsi="Arial" w:cs="Arial"/>
          <w:color w:val="000000"/>
        </w:rPr>
        <w:t>ónegos – SPF e produtores de ovos controlados para produção de vacinas inativadas”, conforme previsto na Resolução/CFMV n. 947/2010.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O art. 5º, alínea “e”, da Lei n. 5.517/1968 é explícito ao atribuir competência privativa a médico veterinário para “a d</w:t>
      </w:r>
      <w:r>
        <w:rPr>
          <w:rFonts w:ascii="Arial" w:eastAsia="Arial" w:hAnsi="Arial" w:cs="Arial"/>
          <w:color w:val="000000"/>
        </w:rPr>
        <w:t>ireção técnica sanitária de estabelecimentos industriais [...] onde estejam, permanentemente, em exposição, em serviço ou para qualquer outro fim animais ou produtos de sua origem”. A mesma lei também atribui ao médico-veterinário a atividade de direção té</w:t>
      </w:r>
      <w:r>
        <w:rPr>
          <w:rFonts w:ascii="Arial" w:eastAsia="Arial" w:hAnsi="Arial" w:cs="Arial"/>
          <w:color w:val="000000"/>
        </w:rPr>
        <w:t>cnica de trabalhos de qualquer natureza relativos à produção animal (art. 6º, alínea “a”). Note-se que a expressão direção técnica, no contexto das aludidas normas, engloba o conceito de responsabilidade técnica.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O art. 3º da Lei n. 5.550/1968 não se re</w:t>
      </w:r>
      <w:r>
        <w:rPr>
          <w:rFonts w:ascii="Arial" w:eastAsia="Arial" w:hAnsi="Arial" w:cs="Arial"/>
          <w:color w:val="000000"/>
        </w:rPr>
        <w:t>fere a qualquer atividade que possa ser enquadrada como responsabilidade técnica de estabelecimento de produção/reprodução de aves e ovos em larga escala.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A autorização legal para que veterinários também exerçam a profissão de zootecnista se trata de vi</w:t>
      </w:r>
      <w:r>
        <w:rPr>
          <w:rFonts w:ascii="Arial" w:eastAsia="Arial" w:hAnsi="Arial" w:cs="Arial"/>
          <w:color w:val="000000"/>
        </w:rPr>
        <w:t>a de mão única (art. 2º, alínea “c”, Lei n. 5.550/1968), provavelmente baseada nas premissas de que a formação do veterinário é mais abrangente e de que “quem pode o mais pode o menos”. Em outros termos, o veterinário pode exercer a profissão de zootecnist</w:t>
      </w:r>
      <w:r>
        <w:rPr>
          <w:rFonts w:ascii="Arial" w:eastAsia="Arial" w:hAnsi="Arial" w:cs="Arial"/>
          <w:color w:val="000000"/>
        </w:rPr>
        <w:t>a, mas o zootecnista não pode exercer as atividades privativas de veterinário.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Resta incólume a competência privativa atribuída ao médico veterinário para a direção técnica (responsabilidade técnica) de estabelecimentos de produção/reprodução de aves e </w:t>
      </w:r>
      <w:r>
        <w:rPr>
          <w:rFonts w:ascii="Arial" w:eastAsia="Arial" w:hAnsi="Arial" w:cs="Arial"/>
          <w:color w:val="000000"/>
        </w:rPr>
        <w:t xml:space="preserve">ovos em larga escala, na forma disciplinada pela Resolução/CFMV n. 947/2010. 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Tendo em vista o disposto no art. 18 da Lei n. 7.347/85, a parte autora deve ser isentada do pagamento dos ônus da sucumbência, pois não agiu de má-fé.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 Apelação não provida</w:t>
      </w:r>
      <w:r>
        <w:rPr>
          <w:rFonts w:ascii="Arial" w:eastAsia="Arial" w:hAnsi="Arial" w:cs="Arial"/>
          <w:color w:val="000000"/>
        </w:rPr>
        <w:t>.</w:t>
      </w: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C Ó R D Ã O</w:t>
      </w: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Decide a Turma, por unanimidade, negar provimento à apelação.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7ª Turma do TRF da 1ª Região – Brasília, 24 de setembro de 2019.</w:t>
      </w: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Juiz Federal MARCELO ALBERNAZ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Relator Convocado</w:t>
      </w: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R E L A T Ó R I O</w:t>
      </w: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69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 Exmo. Sr. Juiz Federal MARCELO ALBERNAZ (Relator Convocado): </w:t>
      </w:r>
    </w:p>
    <w:p w:rsidR="005D4CA4" w:rsidRDefault="0034637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Trata-se de apelação interposta pela ASSOCIAÇÃO BRASILEIRA DE ZOOTECNISTAS - ABZ contra sentença que, em ação civil pública, julgou improcedentes os pedidos de anulação da “exclusividade de at</w:t>
      </w:r>
      <w:r>
        <w:rPr>
          <w:rFonts w:ascii="Arial" w:eastAsia="Arial" w:hAnsi="Arial" w:cs="Arial"/>
        </w:rPr>
        <w:t>ribuição de responsabilidade técnica aos Médicos Veterinários” e de autorização para “que seja a responsabilidade técnica de igual extensão e aplicabilidade atribuída também a Zootecnistas, imposta pela Resolução CFMV nº 947/10”.</w:t>
      </w:r>
    </w:p>
    <w:p w:rsidR="005D4CA4" w:rsidRDefault="0034637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Em suas razões recursais,</w:t>
      </w:r>
      <w:r>
        <w:rPr>
          <w:rFonts w:ascii="Arial" w:eastAsia="Arial" w:hAnsi="Arial" w:cs="Arial"/>
        </w:rPr>
        <w:t xml:space="preserve"> a ABZ alega que:</w:t>
      </w:r>
    </w:p>
    <w:p w:rsidR="005D4CA4" w:rsidRDefault="0034637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 – “apesar da Resolução nº 947, que dispõe sobre os procedimentos para registro e anotações técnicas de estabelecimentos avícolas, não proibir ao Zootecnista o registro como técnico responsável, determinou que se faz necessário ao menos</w:t>
      </w:r>
      <w:r>
        <w:rPr>
          <w:rFonts w:ascii="Arial" w:eastAsia="Arial" w:hAnsi="Arial" w:cs="Arial"/>
        </w:rPr>
        <w:t xml:space="preserve"> um médico veterinário como responsável técnico pelo estabelecimento”;</w:t>
      </w:r>
    </w:p>
    <w:p w:rsidR="005D4CA4" w:rsidRDefault="0034637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– tal restrição indireta ao profissional zootecnista é ilegal, por não estar prevista em lei em sentido formal;</w:t>
      </w:r>
    </w:p>
    <w:p w:rsidR="005D4CA4" w:rsidRDefault="0034637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– a Lei n. 5.550/68 admitiu que agrônomos e veterinários exerçam ativ</w:t>
      </w:r>
      <w:r>
        <w:rPr>
          <w:rFonts w:ascii="Arial" w:eastAsia="Arial" w:hAnsi="Arial" w:cs="Arial"/>
        </w:rPr>
        <w:t>idades de zootecnistas, motivo pelo qual “as atividades antes privativas do Médico Veterinário [...] que forem coincidentes com as atividades descritas no art. 3º da Lei n.º 5.550/68 [...] devem ser consideradas como compatíveis e compartilhadas pelos prof</w:t>
      </w:r>
      <w:r>
        <w:rPr>
          <w:rFonts w:ascii="Arial" w:eastAsia="Arial" w:hAnsi="Arial" w:cs="Arial"/>
        </w:rPr>
        <w:t>issionais Zootecnistas e Agrônomos”;</w:t>
      </w:r>
    </w:p>
    <w:p w:rsidR="005D4CA4" w:rsidRDefault="0034637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– “não é mais privativa do médico veterinário ‘a assistência técnica e sanitária aos animais de qualquer forma’”.</w:t>
      </w:r>
    </w:p>
    <w:p w:rsidR="005D4CA4" w:rsidRDefault="0034637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 contrarrazões do CFMV, que reiterou a alegação de ilegitimidade ativa da autora, aduziu que as razõ</w:t>
      </w:r>
      <w:r>
        <w:rPr>
          <w:rFonts w:ascii="Arial" w:eastAsia="Arial" w:hAnsi="Arial" w:cs="Arial"/>
        </w:rPr>
        <w:t>es recursais não declinaram motivos para identificar o desacerto da sentença e sustentou a improcedência dos pedidos iniciais.</w:t>
      </w:r>
    </w:p>
    <w:p w:rsidR="005D4CA4" w:rsidRDefault="0034637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PRR1 opinou pelo não provimento da apelação.</w:t>
      </w: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É o relatório.</w:t>
      </w: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Juiz Federal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MARCELO ALBERNAZ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Relator Convocado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V O T  O</w:t>
      </w: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699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 Exmo. Sr. Juiz Federal MARCELO ALBERNAZ (Relator Convocado): 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Conheço da apelação, pois preenche os pressupostos de admissibilidade.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propósito, conquanto as razões recursais tenham reiterado argumentos apresentados pela parte autora antes da sentença, elas indicam suficientemente motivos para postular a reforma de tal ato decisório, possibilitando o adequado exercício do contraditório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pela parte recorrida e o conhecimento do apelo por esta Corte.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Pois bem.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autora ostenta legitimidade ativa para a presente ação civil pública, tendo em vista que se enquadra no disposto no art. 5º, inciso V, da Lei n. 7.347/1985, além de haver compatibi</w:t>
      </w:r>
      <w:r>
        <w:rPr>
          <w:rFonts w:ascii="Arial" w:eastAsia="Arial" w:hAnsi="Arial" w:cs="Arial"/>
          <w:color w:val="000000"/>
          <w:sz w:val="22"/>
          <w:szCs w:val="22"/>
        </w:rPr>
        <w:t>lidade entre suas finalidades estatutárias (“promover [...] o prestígio [...] entre os Zootecnistas do país”; “promover, por todos os meios disponíveis e ao seu alcance, a melhoria das condições de trabalho pleiteando e defendendo os interesses da classe j</w:t>
      </w:r>
      <w:r>
        <w:rPr>
          <w:rFonts w:ascii="Arial" w:eastAsia="Arial" w:hAnsi="Arial" w:cs="Arial"/>
          <w:color w:val="000000"/>
          <w:sz w:val="22"/>
          <w:szCs w:val="22"/>
        </w:rPr>
        <w:t>unto às entidades competentes” – fl. 50) e o objeto desta causa (possibilitar o exercício de determinadas atividades profissionais por zootecnistas).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>Passo ao exame do mérito da causa.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>Sustenta a autora-apelante que é ilegal a limitação a médicos veterinár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ios do desempenho da atividade de responsável técnico por “estabelecimentos avícolas de reprodução, de linha pura, bisavoseiros, avoseiros, incubatórios, produtores de aves e ovos livres de patónegos – SPF e produtores de ovos controlados para produção de 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vacinas inativadas”, conforme previsto na Resolução/CFMV n. 947/2010.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No entanto, o art. 5º, alínea “e”, da Lei n. 5.517/1968 é explícito ao atribuir competência privativa a médico veterinário para “a 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>direção técnic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a sanitária de estabelecimentos industria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is [...] onde estejam, permanentemente, em exposição, em serviço ou para qualquer outro fim animais ou produtos de sua origem”.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>No caso, a discussão diz respeito a estabelecimentos de produção/reprodução de aves e ovos em larga escala, razão pela qual deve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m ser enquadrados em tal dispositivo legal.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Ademais, a mesma lei também atribui ao médico-veterinário a atividade de 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>direção técnica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 de trabalhos de qualquer natureza relativos à produção animal (art. 6º, alínea “a”).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Note-se que a expressão 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>direção técnic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>a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, no contexto das aludidas normas, engloba o conceito de 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>responsabilidade técnica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Em contrapartida, o art. 3º da Lei n. 5.550/1968 não se refere a qualquer atividade que possa ser enquadrada como 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 xml:space="preserve">responsabilidade técnica 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de estabelecimento de produção/re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produção de aves e ovos em larga escala.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Sobre isso, diversamente do que sustenta a autora-apelante, a alínea “a” do art. 3º da Lei n. 5.550/1968 não contempla responsabilidade técnica por estabelecimento de produção, mas apenas o planejamento, a 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>direção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 e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 a realização 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 xml:space="preserve">de pesquisas 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que visem a informar e a orientar a criação de animais domésticos, em todos os seus ramos e aspectos (destaquei).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Enfim, está claro que esse dispositivo se refere apenas a atividades de pesquisa, e não propriamente à 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>responsabili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>dade técnica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 por atividades de produção.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Por sua vez, embora a alínea “b” do art. art. 3º da Lei n. 5.550/1968 atribua ao zootecnista competência para realização de atividades relacionadas à produção/reprodução animal, não faz nenhuma referência à 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>responsa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 xml:space="preserve">bilidade técnica 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por estabelecimentos que explorem tal atividade.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Por fim, a autorização legal para que veterinários também exerçam a profissão de zootecnista se trata de via de mão única (art. 2º, alínea “c”, Lei n. 5.550/1968), provavelmente baseada nas 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premissas de que a formação do veterinário é mais abrangente e de que “quem pode o mais pode </w:t>
      </w:r>
      <w:r w:rsidRPr="00A26DC1">
        <w:rPr>
          <w:rFonts w:ascii="Arial" w:eastAsia="Arial" w:hAnsi="Arial" w:cs="Arial"/>
          <w:color w:val="000000"/>
          <w:sz w:val="22"/>
          <w:szCs w:val="22"/>
        </w:rPr>
        <w:lastRenderedPageBreak/>
        <w:t>o menos”. Em outros termos, o veterinário pode exercer a profissão de zootecnista, mas o zootecnista não pode exercer as atividades privativas de veterinário.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Diante disso, resta incólume a competência privativa atribuída ao médico veterinário para a 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 xml:space="preserve">direção técnica 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(responsabilidade técnica) de estabelecimentos de produção/reprodução de aves e ovos em larga escala, na forma disciplinada pela Resolução/CFMV n. 9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47/2010.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>Em sentido semelhante, já decidiu o eg. TRF5: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A26DC1">
        <w:rPr>
          <w:rFonts w:ascii="Arial" w:eastAsia="Arial" w:hAnsi="Arial" w:cs="Arial"/>
          <w:i/>
          <w:color w:val="000000"/>
          <w:sz w:val="22"/>
          <w:szCs w:val="22"/>
        </w:rPr>
        <w:t>ADMINISTRATIVO. MANDADO DE SEGURANÇA. CASA DE MEL E FÁBRICA DE QUEIJO E DERIVADOS DE LEITE. RESPONSÁVEL TÉCNICO. HABILITAÇÃO. PROFISSIONAL DE ZOOTECNIA. INTERPRETAÇÃO DAS NORMAS DE REGÊNCIA. LEI Nº 5.517/68. FUNÇÃO PRIVATIVA DE MÉDICO VETERINÁRIO. 1. O ART</w:t>
      </w:r>
      <w:r w:rsidRPr="00A26DC1">
        <w:rPr>
          <w:rFonts w:ascii="Arial" w:eastAsia="Arial" w:hAnsi="Arial" w:cs="Arial"/>
          <w:i/>
          <w:color w:val="000000"/>
          <w:sz w:val="22"/>
          <w:szCs w:val="22"/>
        </w:rPr>
        <w:t>IGO 5º, "E", DA LEI Nº 5.517/68, TEXTUALMENTE ESTABELECE SER DA COMPETÊNCIA PRIVATIVA DE MÉDICO VETERINÁRIO O EXERCÍCIO DA DIREÇÃO TÉCNICA SANITÁRIA DE ESTABELECIMENTOS INDUSTRIAIS, ONDE ESTEJAM, PERMANENTEMENTE, EM EXPOSIÇÃO, EM SERVIÇO OU PARA QUALQUER O</w:t>
      </w:r>
      <w:r w:rsidRPr="00A26DC1">
        <w:rPr>
          <w:rFonts w:ascii="Arial" w:eastAsia="Arial" w:hAnsi="Arial" w:cs="Arial"/>
          <w:i/>
          <w:color w:val="000000"/>
          <w:sz w:val="22"/>
          <w:szCs w:val="22"/>
        </w:rPr>
        <w:t>UTRO FIM ANIMAIS OU PRODUTOS DE SUA ORIGEM, ENQUADRANDO-SE A EMPRESA INDICADA NOS AUTOS NA REFERIDA SITUAÇÃO. 2. EMBORA POSSA SER ATRIBUÍDA AO PROFISSIONAL DE ZOOTECNIA A PROMOÇÃO E A APLICAÇÃO DE MEDIDAS DE FOMENTO À FABRICAÇÃO DE DERIVADOS DE PRODUTOS DE</w:t>
      </w:r>
      <w:r w:rsidRPr="00A26DC1">
        <w:rPr>
          <w:rFonts w:ascii="Arial" w:eastAsia="Arial" w:hAnsi="Arial" w:cs="Arial"/>
          <w:i/>
          <w:color w:val="000000"/>
          <w:sz w:val="22"/>
          <w:szCs w:val="22"/>
        </w:rPr>
        <w:t xml:space="preserve"> ORIGEM ANIMAL, AS EMPRESAS DEDICADAS A TAL ATIVIDADE NÃO ESTÃO DISPENSADAS DE CONTAR COM OS SERVIÇOS DE UM MÉDICO VETERINÁRIO, COMO RESPONSÁVEL TÉCNICO. 3. APELAÇÃO IMPROVIDA. (AMS - Apelação em Mandado de Segurança - 78442 2000.81.00.021859-1, Desembarga</w:t>
      </w:r>
      <w:r w:rsidRPr="00A26DC1">
        <w:rPr>
          <w:rFonts w:ascii="Arial" w:eastAsia="Arial" w:hAnsi="Arial" w:cs="Arial"/>
          <w:i/>
          <w:color w:val="000000"/>
          <w:sz w:val="22"/>
          <w:szCs w:val="22"/>
        </w:rPr>
        <w:t>dor Federal Élio Wanderley de Siqueira Filho, TRF5 - Segunda Turma, DJ - Data::04/12/2002 - Página::782.)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>Tendo em vista o disposto no art. 18 da Lei n. 7.347/85, a parte autora deve ser isentada do pagamento dos ônus da sucumbência, pois não agiu de má-fé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D4CA4" w:rsidRPr="00A26DC1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>Como se vê, a sentença deve ser confirmada.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6DC1">
        <w:rPr>
          <w:rFonts w:ascii="Arial" w:eastAsia="Arial" w:hAnsi="Arial" w:cs="Arial"/>
          <w:color w:val="000000"/>
          <w:sz w:val="22"/>
          <w:szCs w:val="22"/>
        </w:rPr>
        <w:t xml:space="preserve">Ante o exposto, </w:t>
      </w:r>
      <w:r w:rsidRPr="00A26DC1">
        <w:rPr>
          <w:rFonts w:ascii="Arial" w:eastAsia="Arial" w:hAnsi="Arial" w:cs="Arial"/>
          <w:b/>
          <w:color w:val="000000"/>
          <w:sz w:val="22"/>
          <w:szCs w:val="22"/>
        </w:rPr>
        <w:t xml:space="preserve">nego provimento </w:t>
      </w:r>
      <w:r w:rsidRPr="00A26DC1">
        <w:rPr>
          <w:rFonts w:ascii="Arial" w:eastAsia="Arial" w:hAnsi="Arial" w:cs="Arial"/>
          <w:color w:val="000000"/>
          <w:sz w:val="22"/>
          <w:szCs w:val="22"/>
        </w:rPr>
        <w:t>à apelação.</w:t>
      </w:r>
      <w:bookmarkStart w:id="0" w:name="_GoBack"/>
      <w:bookmarkEnd w:id="0"/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É como voto.</w:t>
      </w:r>
    </w:p>
    <w:p w:rsidR="005D4CA4" w:rsidRDefault="005D4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Juiz Federal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MARCELO ALBERNAZ</w:t>
      </w:r>
    </w:p>
    <w:p w:rsidR="005D4CA4" w:rsidRDefault="00346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Relator Convocado</w:t>
      </w:r>
    </w:p>
    <w:sectPr w:rsidR="005D4CA4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851" w:right="851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7F" w:rsidRDefault="0034637F">
      <w:pPr>
        <w:spacing w:line="240" w:lineRule="auto"/>
        <w:ind w:left="0" w:hanging="2"/>
      </w:pPr>
      <w:r>
        <w:separator/>
      </w:r>
    </w:p>
  </w:endnote>
  <w:endnote w:type="continuationSeparator" w:id="0">
    <w:p w:rsidR="0034637F" w:rsidRDefault="003463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leaved 2of5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A4" w:rsidRDefault="005D4C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Arial" w:eastAsia="Arial" w:hAnsi="Arial" w:cs="Arial"/>
        <w:color w:val="000000"/>
        <w:sz w:val="12"/>
        <w:szCs w:val="12"/>
      </w:rPr>
    </w:pPr>
  </w:p>
  <w:p w:rsidR="005D4CA4" w:rsidRDefault="005D4C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Arial" w:eastAsia="Arial" w:hAnsi="Arial" w:cs="Arial"/>
        <w:color w:val="000000"/>
        <w:sz w:val="12"/>
        <w:szCs w:val="12"/>
      </w:rPr>
    </w:pPr>
  </w:p>
  <w:p w:rsidR="005D4CA4" w:rsidRDefault="00346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hanging="3"/>
      <w:rPr>
        <w:rFonts w:ascii="Arial" w:eastAsia="Arial" w:hAnsi="Arial" w:cs="Arial"/>
        <w:color w:val="000000"/>
        <w:sz w:val="12"/>
        <w:szCs w:val="12"/>
      </w:rPr>
    </w:pPr>
    <w:r>
      <w:rPr>
        <w:rFonts w:ascii="Interleaved 2of5" w:eastAsia="Interleaved 2of5" w:hAnsi="Interleaved 2of5" w:cs="Interleaved 2of5"/>
        <w:b/>
        <w:color w:val="000000"/>
        <w:sz w:val="28"/>
        <w:szCs w:val="28"/>
      </w:rPr>
      <w:t>(DC9Éë)</w:t>
    </w:r>
    <w:r>
      <w:rPr>
        <w:rFonts w:ascii="Arial" w:eastAsia="Arial" w:hAnsi="Arial" w:cs="Arial"/>
        <w:color w:val="000000"/>
        <w:sz w:val="12"/>
        <w:szCs w:val="12"/>
      </w:rPr>
      <w:t xml:space="preserve"> - Nº Lote: 2019095993 - 2_2 - APELAÇÃO CÍVEL N. 0046663-70.2013.4.01.3400/DF - TR17161PS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A4" w:rsidRDefault="005D4C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Arial" w:eastAsia="Arial" w:hAnsi="Arial" w:cs="Arial"/>
        <w:color w:val="000000"/>
        <w:sz w:val="12"/>
        <w:szCs w:val="12"/>
      </w:rPr>
    </w:pPr>
  </w:p>
  <w:p w:rsidR="005D4CA4" w:rsidRDefault="005D4C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Arial" w:eastAsia="Arial" w:hAnsi="Arial" w:cs="Arial"/>
        <w:color w:val="000000"/>
        <w:sz w:val="12"/>
        <w:szCs w:val="12"/>
      </w:rPr>
    </w:pPr>
  </w:p>
  <w:p w:rsidR="005D4CA4" w:rsidRDefault="00346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hanging="3"/>
      <w:rPr>
        <w:rFonts w:ascii="Arial" w:eastAsia="Arial" w:hAnsi="Arial" w:cs="Arial"/>
        <w:color w:val="000000"/>
        <w:sz w:val="12"/>
        <w:szCs w:val="12"/>
      </w:rPr>
    </w:pPr>
    <w:r>
      <w:rPr>
        <w:rFonts w:ascii="Interleaved 2of5" w:eastAsia="Interleaved 2of5" w:hAnsi="Interleaved 2of5" w:cs="Interleaved 2of5"/>
        <w:b/>
        <w:color w:val="000000"/>
        <w:sz w:val="28"/>
        <w:szCs w:val="28"/>
      </w:rPr>
      <w:t>(DC9Éë)</w:t>
    </w:r>
    <w:r>
      <w:rPr>
        <w:rFonts w:ascii="Arial" w:eastAsia="Arial" w:hAnsi="Arial" w:cs="Arial"/>
        <w:color w:val="000000"/>
        <w:sz w:val="12"/>
        <w:szCs w:val="12"/>
      </w:rPr>
      <w:t xml:space="preserve"> - Nº Lote: 2019095993 - 2_2 - APELAÇÃO CÍVEL N. 0046663-70.2013.4.01.3400/DF - TR17161PS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7F" w:rsidRDefault="0034637F">
      <w:pPr>
        <w:spacing w:line="240" w:lineRule="auto"/>
        <w:ind w:left="0" w:hanging="2"/>
      </w:pPr>
      <w:r>
        <w:separator/>
      </w:r>
    </w:p>
  </w:footnote>
  <w:footnote w:type="continuationSeparator" w:id="0">
    <w:p w:rsidR="0034637F" w:rsidRDefault="003463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A4" w:rsidRDefault="0034637F">
    <w:pPr>
      <w:pBdr>
        <w:top w:val="nil"/>
        <w:left w:val="nil"/>
        <w:bottom w:val="nil"/>
        <w:right w:val="nil"/>
        <w:between w:val="nil"/>
      </w:pBdr>
      <w:tabs>
        <w:tab w:val="left" w:pos="8891"/>
      </w:tabs>
      <w:spacing w:before="120"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PODER JUDICIÁRIO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8"/>
        <w:szCs w:val="18"/>
      </w:rPr>
      <w:t>fls.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AF5198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A26DC1">
      <w:rPr>
        <w:rFonts w:ascii="Arial" w:eastAsia="Arial" w:hAnsi="Arial" w:cs="Arial"/>
        <w:noProof/>
        <w:color w:val="000000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/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 w:rsidR="00AF5198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A26DC1">
      <w:rPr>
        <w:rFonts w:ascii="Arial" w:eastAsia="Arial" w:hAnsi="Arial" w:cs="Arial"/>
        <w:noProof/>
        <w:color w:val="000000"/>
        <w:sz w:val="18"/>
        <w:szCs w:val="18"/>
      </w:rPr>
      <w:t>5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5D4CA4" w:rsidRDefault="00346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TRIBUNAL REGIONAL FEDERAL DA PRIMEIRA REGIÃO</w:t>
    </w:r>
  </w:p>
  <w:p w:rsidR="005D4CA4" w:rsidRDefault="005D4C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</w:p>
  <w:p w:rsidR="005D4CA4" w:rsidRDefault="00346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APELAÇÃO CÍVEL N. 0046663-70.2013.4.01.3400/DF </w:t>
    </w:r>
  </w:p>
  <w:p w:rsidR="005D4CA4" w:rsidRDefault="005D4C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A4" w:rsidRDefault="00346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240" w:lineRule="auto"/>
      <w:ind w:left="3" w:hanging="5"/>
      <w:jc w:val="right"/>
      <w:rPr>
        <w:rFonts w:ascii="Interleaved 2of5" w:eastAsia="Interleaved 2of5" w:hAnsi="Interleaved 2of5" w:cs="Interleaved 2of5"/>
        <w:color w:val="000000"/>
        <w:sz w:val="48"/>
        <w:szCs w:val="48"/>
      </w:rPr>
    </w:pPr>
    <w:r>
      <w:rPr>
        <w:rFonts w:ascii="Interleaved 2of5" w:eastAsia="Interleaved 2of5" w:hAnsi="Interleaved 2of5" w:cs="Interleaved 2of5"/>
        <w:color w:val="000000"/>
        <w:sz w:val="48"/>
        <w:szCs w:val="48"/>
      </w:rPr>
      <w:t>(^ÐU21R1R0)</w:t>
    </w:r>
  </w:p>
  <w:p w:rsidR="005D4CA4" w:rsidRDefault="00346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114300" distR="114300">
          <wp:extent cx="763270" cy="79946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270" cy="799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4CA4" w:rsidRDefault="00346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PODER JUDICIÁRIO</w:t>
    </w:r>
  </w:p>
  <w:p w:rsidR="005D4CA4" w:rsidRDefault="00346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TRIBUNAL REGIONAL FEDERAL DA PRIMEIRA REGIÃO</w:t>
    </w:r>
  </w:p>
  <w:p w:rsidR="005D4CA4" w:rsidRDefault="005D4C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</w:p>
  <w:p w:rsidR="005D4CA4" w:rsidRDefault="00346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APELAÇÃO CÍVEL N. 0046663-70.2013.4.01.3400/DF </w:t>
    </w:r>
  </w:p>
  <w:p w:rsidR="005D4CA4" w:rsidRDefault="005D4C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A4"/>
    <w:rsid w:val="0034637F"/>
    <w:rsid w:val="005D4CA4"/>
    <w:rsid w:val="00A26DC1"/>
    <w:rsid w:val="00A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2063-90D1-4FAA-B543-1878A16E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dentificao">
    <w:name w:val="Identificação"/>
    <w:basedOn w:val="ementa"/>
    <w:pPr>
      <w:spacing w:before="0" w:after="0"/>
    </w:pPr>
  </w:style>
  <w:style w:type="paragraph" w:customStyle="1" w:styleId="ementa">
    <w:name w:val="ementa"/>
    <w:basedOn w:val="Pargrafo"/>
    <w:pPr>
      <w:ind w:firstLine="0"/>
    </w:pPr>
  </w:style>
  <w:style w:type="paragraph" w:customStyle="1" w:styleId="Pargrafo">
    <w:name w:val="Parágrafo"/>
    <w:basedOn w:val="Normal"/>
    <w:pPr>
      <w:spacing w:before="120" w:after="120"/>
      <w:ind w:firstLine="1418"/>
      <w:jc w:val="both"/>
    </w:pPr>
    <w:rPr>
      <w:rFonts w:ascii="Arial" w:hAnsi="Arial"/>
      <w:sz w:val="22"/>
    </w:rPr>
  </w:style>
  <w:style w:type="paragraph" w:customStyle="1" w:styleId="centralizar">
    <w:name w:val="centralizar"/>
    <w:basedOn w:val="Pargrafo"/>
    <w:next w:val="Pargrafo"/>
    <w:pPr>
      <w:spacing w:before="360" w:after="360"/>
      <w:ind w:firstLine="0"/>
      <w:jc w:val="center"/>
    </w:pPr>
    <w:rPr>
      <w:b/>
    </w:rPr>
  </w:style>
  <w:style w:type="paragraph" w:customStyle="1" w:styleId="Transcrio">
    <w:name w:val="Transcrição"/>
    <w:basedOn w:val="Pargrafo"/>
    <w:pPr>
      <w:spacing w:before="60" w:after="60"/>
      <w:ind w:left="2268" w:firstLine="0"/>
    </w:pPr>
    <w:rPr>
      <w:i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ranscrio2">
    <w:name w:val="transcrição 2"/>
    <w:basedOn w:val="Transcrio"/>
    <w:pPr>
      <w:ind w:left="2835"/>
    </w:pPr>
  </w:style>
  <w:style w:type="paragraph" w:customStyle="1" w:styleId="transcrio3">
    <w:name w:val="transcrição 3"/>
    <w:basedOn w:val="Identificao"/>
    <w:pPr>
      <w:ind w:left="3686"/>
    </w:pPr>
    <w:rPr>
      <w:i/>
      <w:iCs/>
    </w:rPr>
  </w:style>
  <w:style w:type="paragraph" w:customStyle="1" w:styleId="transcrio4">
    <w:name w:val="transcrição 4"/>
    <w:basedOn w:val="transcrio3"/>
    <w:pPr>
      <w:ind w:left="4536"/>
    </w:pPr>
  </w:style>
  <w:style w:type="paragraph" w:customStyle="1" w:styleId="assinatura">
    <w:name w:val="assinatura"/>
    <w:basedOn w:val="Pargrafo"/>
    <w:pPr>
      <w:spacing w:before="0" w:after="0"/>
      <w:ind w:firstLine="0"/>
      <w:jc w:val="center"/>
    </w:pPr>
  </w:style>
  <w:style w:type="paragraph" w:customStyle="1" w:styleId="Pargrafo2">
    <w:name w:val="Parágrafo 2"/>
    <w:basedOn w:val="Pargrafo"/>
    <w:pPr>
      <w:spacing w:line="48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argrafoChar">
    <w:name w:val="Parágrafo Char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val="pt-BR" w:eastAsia="pt-BR" w:bidi="ar-SA"/>
    </w:rPr>
  </w:style>
  <w:style w:type="character" w:customStyle="1" w:styleId="TranscrioChar">
    <w:name w:val="Transcrição Char"/>
    <w:rPr>
      <w:rFonts w:ascii="Arial" w:hAnsi="Arial"/>
      <w:i/>
      <w:w w:val="100"/>
      <w:position w:val="-1"/>
      <w:sz w:val="22"/>
      <w:szCs w:val="24"/>
      <w:effect w:val="none"/>
      <w:vertAlign w:val="baseline"/>
      <w:cs w:val="0"/>
      <w:em w:val="none"/>
      <w:lang w:val="pt-BR" w:eastAsia="pt-BR" w:bidi="ar-SA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1777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TR17161PS</dc:creator>
  <cp:lastModifiedBy>Flávia Lobo</cp:lastModifiedBy>
  <cp:revision>3</cp:revision>
  <dcterms:created xsi:type="dcterms:W3CDTF">2019-10-10T19:34:00Z</dcterms:created>
  <dcterms:modified xsi:type="dcterms:W3CDTF">2019-10-10T19:35:00Z</dcterms:modified>
</cp:coreProperties>
</file>